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F271B7">
        <w:rPr>
          <w:rFonts w:ascii="Arial" w:hAnsi="Arial" w:cs="Arial"/>
          <w:b/>
          <w:sz w:val="24"/>
          <w:szCs w:val="24"/>
          <w:lang w:val="en-GB"/>
        </w:rPr>
        <w:t>1. Name of module: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 w:rsidRPr="00F271B7">
        <w:rPr>
          <w:rFonts w:ascii="Arial" w:hAnsi="Arial" w:cs="Arial"/>
          <w:sz w:val="24"/>
          <w:szCs w:val="24"/>
          <w:lang w:val="en-GB"/>
        </w:rPr>
        <w:t>Management Accounting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2. The unit code: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MTUB_8_OND.12_3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3. Type module: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compulsory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4. Semester: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3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5. The volume of the module: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total hours - 90 (ECTS credits - 3); contact hours - 30 (lectures - 12 practical lessons - 18).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6. Lecturer: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hAnsi="Arial" w:cs="Arial"/>
          <w:sz w:val="24"/>
          <w:szCs w:val="24"/>
          <w:lang w:val="en-GB"/>
        </w:rPr>
        <w:t>Hryshova</w:t>
      </w:r>
      <w:proofErr w:type="spellEnd"/>
      <w:r w:rsidRPr="00F271B7">
        <w:rPr>
          <w:rFonts w:ascii="Arial" w:hAnsi="Arial" w:cs="Arial"/>
          <w:sz w:val="24"/>
          <w:szCs w:val="24"/>
          <w:lang w:val="en-GB"/>
        </w:rPr>
        <w:t xml:space="preserve"> Inna Y</w:t>
      </w:r>
      <w:proofErr w:type="spellStart"/>
      <w:r w:rsidR="00F271B7">
        <w:rPr>
          <w:rFonts w:ascii="Arial" w:hAnsi="Arial" w:cs="Arial"/>
          <w:sz w:val="24"/>
          <w:szCs w:val="24"/>
          <w:lang w:val="en-US"/>
        </w:rPr>
        <w:t>riyivna</w:t>
      </w:r>
      <w:proofErr w:type="spellEnd"/>
      <w:r w:rsidRPr="00F271B7">
        <w:rPr>
          <w:rFonts w:ascii="Arial" w:hAnsi="Arial" w:cs="Arial"/>
          <w:sz w:val="24"/>
          <w:szCs w:val="24"/>
          <w:lang w:val="en-GB"/>
        </w:rPr>
        <w:t>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7. Learning outcomes: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sz w:val="24"/>
          <w:szCs w:val="24"/>
          <w:lang w:val="en-GB"/>
        </w:rPr>
        <w:t xml:space="preserve">Following the completion of the module a student </w:t>
      </w:r>
      <w:r w:rsidRPr="00F271B7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271B7">
        <w:rPr>
          <w:rFonts w:ascii="Arial" w:hAnsi="Arial" w:cs="Arial"/>
          <w:b/>
          <w:sz w:val="24"/>
          <w:szCs w:val="24"/>
          <w:lang w:val="en-GB"/>
        </w:rPr>
        <w:t>know</w:t>
      </w:r>
      <w:proofErr w:type="gramEnd"/>
      <w:r w:rsidRPr="00F271B7">
        <w:rPr>
          <w:rFonts w:ascii="Arial" w:hAnsi="Arial" w:cs="Arial"/>
          <w:b/>
          <w:sz w:val="24"/>
          <w:szCs w:val="24"/>
          <w:lang w:val="en-GB"/>
        </w:rPr>
        <w:t>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theoretical and methodological foundations of management accounting, cost classification approaches, modern system of accounting and calculation and areas of improvement.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able: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to classify and allocate costs to investigate the </w:t>
      </w:r>
      <w:r w:rsidR="00F271B7" w:rsidRPr="00F271B7">
        <w:rPr>
          <w:rFonts w:ascii="Arial" w:hAnsi="Arial" w:cs="Arial"/>
          <w:sz w:val="24"/>
          <w:szCs w:val="24"/>
          <w:lang w:val="en-GB"/>
        </w:rPr>
        <w:t>behaviour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and function of cost, margin and use relevant approach in preparing information for the substantiation of administrative decisions, prepare operating and financial budgets; analyze deviations from them.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8. Method of delivery: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auditorium classes.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9. Necessary preliminary and co-requisites:</w:t>
      </w:r>
    </w:p>
    <w:p w:rsidR="006A285B" w:rsidRPr="00F271B7" w:rsidRDefault="006A285B" w:rsidP="007641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r w:rsidRPr="00F271B7">
        <w:rPr>
          <w:rFonts w:ascii="Arial" w:hAnsi="Arial" w:cs="Arial"/>
          <w:sz w:val="24"/>
          <w:szCs w:val="24"/>
          <w:lang w:val="en-GB"/>
        </w:rPr>
        <w:t>Prerekvizyty</w:t>
      </w:r>
      <w:proofErr w:type="spellEnd"/>
      <w:r w:rsidRPr="00F271B7">
        <w:rPr>
          <w:rFonts w:ascii="Arial" w:hAnsi="Arial" w:cs="Arial"/>
          <w:sz w:val="24"/>
          <w:szCs w:val="24"/>
          <w:lang w:val="en-GB"/>
        </w:rPr>
        <w:t>: management, organization management.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10. Course contents:</w:t>
      </w:r>
    </w:p>
    <w:p w:rsidR="006A285B" w:rsidRPr="00F271B7" w:rsidRDefault="006A285B" w:rsidP="0076412B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The purpose, content and organization of management accounting.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 xml:space="preserve">Classification and spending </w:t>
      </w:r>
      <w:r w:rsidR="00F271B7" w:rsidRPr="00F271B7">
        <w:rPr>
          <w:rFonts w:ascii="Arial" w:hAnsi="Arial" w:cs="Arial"/>
          <w:sz w:val="24"/>
          <w:szCs w:val="24"/>
          <w:lang w:val="en-GB"/>
        </w:rPr>
        <w:t>behaviour</w:t>
      </w:r>
      <w:r w:rsidRPr="00F271B7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The system of accounting and calculation on full costs.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Accounting system and costing for variable costs. Analysis interconnection costs, volume of activity and profit.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The system of accounting and calculation for regulatory costs.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Analysis of information for the preparation of management decisions.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Budgeting and control.</w:t>
      </w:r>
      <w:proofErr w:type="gramEnd"/>
      <w:r w:rsidRPr="00F271B7">
        <w:rPr>
          <w:rFonts w:ascii="Arial" w:hAnsi="Arial" w:cs="Arial"/>
          <w:sz w:val="24"/>
          <w:szCs w:val="24"/>
          <w:lang w:val="en-GB"/>
        </w:rPr>
        <w:t xml:space="preserve"> Accounting and control </w:t>
      </w:r>
      <w:r w:rsidR="00F271B7" w:rsidRPr="00F271B7">
        <w:rPr>
          <w:rFonts w:ascii="Arial" w:hAnsi="Arial" w:cs="Arial"/>
          <w:sz w:val="24"/>
          <w:szCs w:val="24"/>
          <w:lang w:val="en-GB"/>
        </w:rPr>
        <w:t>centres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of responsibility. </w:t>
      </w:r>
      <w:proofErr w:type="gramStart"/>
      <w:r w:rsidRPr="00F271B7">
        <w:rPr>
          <w:rFonts w:ascii="Arial" w:hAnsi="Arial" w:cs="Arial"/>
          <w:sz w:val="24"/>
          <w:szCs w:val="24"/>
          <w:lang w:val="en-GB"/>
        </w:rPr>
        <w:t>Strategic management accounting.</w:t>
      </w:r>
      <w:proofErr w:type="gramEnd"/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11. Suggested Reading:</w:t>
      </w:r>
    </w:p>
    <w:p w:rsidR="00F271B7" w:rsidRPr="00F271B7" w:rsidRDefault="00F271B7" w:rsidP="00F271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GB"/>
        </w:rPr>
      </w:pPr>
      <w:proofErr w:type="spellStart"/>
      <w:r w:rsidRPr="00F271B7">
        <w:rPr>
          <w:rFonts w:ascii="Arial" w:eastAsia="Calibri" w:hAnsi="Arial" w:cs="Arial"/>
          <w:bCs/>
          <w:sz w:val="24"/>
          <w:szCs w:val="24"/>
          <w:lang w:val="en-GB"/>
        </w:rPr>
        <w:t>Атамас</w:t>
      </w:r>
      <w:proofErr w:type="spellEnd"/>
      <w:r w:rsidRPr="00F271B7">
        <w:rPr>
          <w:rFonts w:ascii="Arial" w:eastAsia="Calibri" w:hAnsi="Arial" w:cs="Arial"/>
          <w:bCs/>
          <w:sz w:val="24"/>
          <w:szCs w:val="24"/>
          <w:lang w:val="en-GB"/>
        </w:rPr>
        <w:t xml:space="preserve"> П. Й.</w:t>
      </w:r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Управлінський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облік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: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Навчальний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посібник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2-ге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вид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/</w:t>
      </w:r>
      <w:r w:rsidRPr="00F271B7">
        <w:rPr>
          <w:rFonts w:ascii="Arial" w:eastAsia="Calibri" w:hAnsi="Arial" w:cs="Arial"/>
          <w:bCs/>
          <w:sz w:val="24"/>
          <w:szCs w:val="24"/>
          <w:lang w:val="en-GB"/>
        </w:rPr>
        <w:t xml:space="preserve"> П. Й. </w:t>
      </w:r>
      <w:proofErr w:type="spellStart"/>
      <w:r w:rsidRPr="00F271B7">
        <w:rPr>
          <w:rFonts w:ascii="Arial" w:eastAsia="Calibri" w:hAnsi="Arial" w:cs="Arial"/>
          <w:bCs/>
          <w:sz w:val="24"/>
          <w:szCs w:val="24"/>
          <w:lang w:val="en-GB"/>
        </w:rPr>
        <w:t>Атамас</w:t>
      </w:r>
      <w:proofErr w:type="spellEnd"/>
      <w:r w:rsidRPr="00F271B7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–</w:t>
      </w:r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 w:rsidRPr="00F271B7">
        <w:rPr>
          <w:rFonts w:ascii="Arial" w:eastAsia="Calibri" w:hAnsi="Arial" w:cs="Arial"/>
          <w:sz w:val="24"/>
          <w:szCs w:val="24"/>
          <w:lang w:val="en-GB"/>
        </w:rPr>
        <w:t>К.:</w:t>
      </w:r>
      <w:proofErr w:type="gram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Центр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учбової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Calibri" w:hAnsi="Arial" w:cs="Arial"/>
          <w:sz w:val="24"/>
          <w:szCs w:val="24"/>
          <w:lang w:val="en-GB"/>
        </w:rPr>
        <w:t>літератури</w:t>
      </w:r>
      <w:proofErr w:type="spellEnd"/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, 2009. </w:t>
      </w:r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–</w:t>
      </w:r>
      <w:r w:rsidRPr="00F271B7">
        <w:rPr>
          <w:rFonts w:ascii="Arial" w:eastAsia="Calibri" w:hAnsi="Arial" w:cs="Arial"/>
          <w:sz w:val="24"/>
          <w:szCs w:val="24"/>
          <w:lang w:val="en-GB"/>
        </w:rPr>
        <w:t xml:space="preserve"> 440 с.</w:t>
      </w:r>
    </w:p>
    <w:p w:rsidR="00F271B7" w:rsidRPr="00F271B7" w:rsidRDefault="00F271B7" w:rsidP="00F271B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GB"/>
        </w:rPr>
      </w:pP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Бізнес-адміністрування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: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магістерський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курс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: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Підручник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/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За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ред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д.е.н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.,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проф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 Л. Г.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Мельника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,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д.е.н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.,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проф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 C. M.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Ілляшенка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та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к.е.н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.,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доц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 І. М.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Сотник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. –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Суми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: ВТД «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Унiверситетська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книга</w:t>
      </w:r>
      <w:proofErr w:type="spellEnd"/>
      <w:r w:rsidRPr="00F271B7">
        <w:rPr>
          <w:rFonts w:ascii="Arial" w:eastAsia="Lucida Sans Unicode" w:hAnsi="Arial" w:cs="Arial"/>
          <w:kern w:val="1"/>
          <w:sz w:val="24"/>
          <w:szCs w:val="24"/>
          <w:lang w:val="en-GB"/>
        </w:rPr>
        <w:t>», 2008. – 896 с.</w:t>
      </w:r>
    </w:p>
    <w:p w:rsidR="00F271B7" w:rsidRPr="00F271B7" w:rsidRDefault="00F271B7" w:rsidP="00F271B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GB"/>
        </w:rPr>
      </w:pP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Голов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С. Ф.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Фінансовий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та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управлінський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облік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. / С. Ф.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Голов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, Є. І.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Єфименко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. – К</w:t>
      </w:r>
      <w:proofErr w:type="gram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:.</w:t>
      </w:r>
      <w:proofErr w:type="gram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ТОВ «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Автоінтер-Сервіс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», 1996. – 544 с.</w:t>
      </w:r>
    </w:p>
    <w:p w:rsidR="00F271B7" w:rsidRPr="00F271B7" w:rsidRDefault="00F271B7" w:rsidP="00F271B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GB"/>
        </w:rPr>
      </w:pP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Тренев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Н. Н.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Управление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финансами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/ Н. Н.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Тренев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. – </w:t>
      </w:r>
      <w:proofErr w:type="gram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М.:</w:t>
      </w:r>
      <w:proofErr w:type="gram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Финансы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 xml:space="preserve"> и </w:t>
      </w:r>
      <w:proofErr w:type="spellStart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статистика</w:t>
      </w:r>
      <w:proofErr w:type="spellEnd"/>
      <w:r w:rsidRPr="00F271B7">
        <w:rPr>
          <w:rFonts w:ascii="Arial" w:eastAsia="Lucida Sans Unicode" w:hAnsi="Arial" w:cs="Arial"/>
          <w:bCs/>
          <w:kern w:val="1"/>
          <w:sz w:val="24"/>
          <w:szCs w:val="24"/>
          <w:lang w:val="en-GB"/>
        </w:rPr>
        <w:t>, 1999. – 496 с.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12. Methods: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lectures, practical classes, independent work.</w:t>
      </w:r>
    </w:p>
    <w:p w:rsidR="006A285B" w:rsidRPr="00F271B7" w:rsidRDefault="006A285B" w:rsidP="0076412B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t>13. Assessment methods:</w:t>
      </w:r>
    </w:p>
    <w:p w:rsidR="006A285B" w:rsidRPr="00F271B7" w:rsidRDefault="006A285B" w:rsidP="007641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sz w:val="24"/>
          <w:szCs w:val="24"/>
          <w:lang w:val="en-GB"/>
        </w:rPr>
        <w:t xml:space="preserve">- Current control (70%) - oral interviews, testing, and research </w:t>
      </w:r>
      <w:proofErr w:type="spellStart"/>
      <w:r w:rsidRPr="00F271B7">
        <w:rPr>
          <w:rFonts w:ascii="Arial" w:hAnsi="Arial" w:cs="Arial"/>
          <w:sz w:val="24"/>
          <w:szCs w:val="24"/>
          <w:lang w:val="en-GB"/>
        </w:rPr>
        <w:t>navchavlno</w:t>
      </w:r>
      <w:proofErr w:type="spellEnd"/>
      <w:r w:rsidRPr="00F271B7">
        <w:rPr>
          <w:rFonts w:ascii="Arial" w:hAnsi="Arial" w:cs="Arial"/>
          <w:sz w:val="24"/>
          <w:szCs w:val="24"/>
          <w:lang w:val="en-GB"/>
        </w:rPr>
        <w:t xml:space="preserve"> individual tasks;</w:t>
      </w:r>
    </w:p>
    <w:p w:rsidR="006A285B" w:rsidRPr="00F271B7" w:rsidRDefault="006A285B" w:rsidP="0076412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sz w:val="24"/>
          <w:szCs w:val="24"/>
          <w:lang w:val="en-GB"/>
        </w:rPr>
        <w:t>- Final control (30%) - exam (theoretical questions, tasks, tests).</w:t>
      </w:r>
    </w:p>
    <w:p w:rsidR="006A6D8D" w:rsidRPr="00F271B7" w:rsidRDefault="006A285B" w:rsidP="0076412B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F271B7">
        <w:rPr>
          <w:rFonts w:ascii="Arial" w:hAnsi="Arial" w:cs="Arial"/>
          <w:b/>
          <w:sz w:val="24"/>
          <w:szCs w:val="24"/>
          <w:lang w:val="en-GB"/>
        </w:rPr>
        <w:lastRenderedPageBreak/>
        <w:t>14. Language of instruction:</w:t>
      </w:r>
      <w:r w:rsidRPr="00F271B7">
        <w:rPr>
          <w:rFonts w:ascii="Arial" w:hAnsi="Arial" w:cs="Arial"/>
          <w:sz w:val="24"/>
          <w:szCs w:val="24"/>
          <w:lang w:val="en-GB"/>
        </w:rPr>
        <w:t xml:space="preserve"> Ukrainian.</w:t>
      </w:r>
    </w:p>
    <w:sectPr w:rsidR="006A6D8D" w:rsidRPr="00F271B7" w:rsidSect="00396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862"/>
    <w:multiLevelType w:val="hybridMultilevel"/>
    <w:tmpl w:val="1FD0F3D4"/>
    <w:lvl w:ilvl="0" w:tplc="C11CE4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5B"/>
    <w:rsid w:val="001105F4"/>
    <w:rsid w:val="00396E9D"/>
    <w:rsid w:val="006A285B"/>
    <w:rsid w:val="0076412B"/>
    <w:rsid w:val="008923C0"/>
    <w:rsid w:val="00F2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SPecialiST</cp:lastModifiedBy>
  <cp:revision>3</cp:revision>
  <dcterms:created xsi:type="dcterms:W3CDTF">2015-12-16T10:50:00Z</dcterms:created>
  <dcterms:modified xsi:type="dcterms:W3CDTF">2015-12-17T18:20:00Z</dcterms:modified>
</cp:coreProperties>
</file>