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22" w:rsidRPr="00E86722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module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 w:rsidRPr="00E867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</w:t>
      </w:r>
      <w:proofErr w:type="spellStart"/>
      <w:r w:rsidRPr="00E86722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oundations</w:t>
      </w:r>
      <w:proofErr w:type="spellEnd"/>
      <w:r w:rsidRPr="00E86722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turyzmozmavstv</w:t>
      </w:r>
      <w:proofErr w:type="spellEnd"/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  <w:lang w:val="en-US"/>
        </w:rPr>
        <w:t>o</w:t>
      </w:r>
    </w:p>
    <w:p w:rsidR="00E86722" w:rsidRPr="00B919E6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code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TOTHRB_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6_OND.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23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4</w:t>
      </w:r>
    </w:p>
    <w:p w:rsidR="00E86722" w:rsidRPr="00B919E6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module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compulsory</w:t>
      </w:r>
      <w:proofErr w:type="spellEnd"/>
    </w:p>
    <w:p w:rsidR="00E86722" w:rsidRPr="00B919E6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2</w:t>
      </w:r>
    </w:p>
    <w:p w:rsidR="00E86722" w:rsidRPr="00B919E6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volume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module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hours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120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(ECTS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credits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4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);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hours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72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(t. h.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lectures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38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hours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.,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practical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34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hours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).</w:t>
      </w:r>
    </w:p>
    <w:p w:rsidR="00E86722" w:rsidRPr="00E86722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Lecturer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Litvin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O.V.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teacher</w:t>
      </w:r>
      <w:proofErr w:type="spellEnd"/>
    </w:p>
    <w:p w:rsidR="00E86722" w:rsidRPr="00B919E6" w:rsidRDefault="00E86722" w:rsidP="00E8672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Learning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outcomes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86722" w:rsidRPr="00B919E6" w:rsidRDefault="00E86722" w:rsidP="00E867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919E6">
        <w:rPr>
          <w:rFonts w:ascii="Arial" w:eastAsia="Times New Roman" w:hAnsi="Arial" w:cs="Arial"/>
          <w:color w:val="000000"/>
          <w:sz w:val="24"/>
          <w:szCs w:val="24"/>
        </w:rPr>
        <w:t>A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study</w:t>
      </w:r>
      <w:proofErr w:type="spellEnd"/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module</w:t>
      </w:r>
      <w:proofErr w:type="spellEnd"/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student</w:t>
      </w:r>
      <w:proofErr w:type="spellEnd"/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ought</w:t>
      </w:r>
      <w:proofErr w:type="spellEnd"/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en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86722" w:rsidRPr="00E86722" w:rsidRDefault="00E86722" w:rsidP="00E86722">
      <w:pPr>
        <w:pStyle w:val="HTML"/>
        <w:shd w:val="clear" w:color="auto" w:fill="FFFFFF"/>
        <w:rPr>
          <w:rFonts w:ascii="Arial" w:hAnsi="Arial" w:cs="Arial"/>
          <w:color w:val="212121"/>
          <w:sz w:val="26"/>
          <w:szCs w:val="26"/>
        </w:rPr>
      </w:pPr>
      <w:proofErr w:type="spellStart"/>
      <w:r w:rsidRPr="00B919E6">
        <w:rPr>
          <w:rFonts w:ascii="Arial" w:hAnsi="Arial" w:cs="Arial"/>
          <w:b/>
          <w:bCs/>
          <w:color w:val="000000"/>
          <w:sz w:val="24"/>
          <w:szCs w:val="24"/>
        </w:rPr>
        <w:t>know</w:t>
      </w:r>
      <w:proofErr w:type="spellEnd"/>
      <w:r w:rsidRPr="00E86722">
        <w:rPr>
          <w:rFonts w:ascii="Arial" w:hAnsi="Arial" w:cs="Arial"/>
          <w:b/>
          <w:bCs/>
          <w:color w:val="000000"/>
          <w:sz w:val="26"/>
          <w:szCs w:val="26"/>
        </w:rPr>
        <w:t>:</w:t>
      </w:r>
      <w:r w:rsidRPr="00E86722">
        <w:rPr>
          <w:rFonts w:ascii="Arial" w:hAnsi="Arial" w:cs="Arial"/>
          <w:color w:val="000000"/>
          <w:sz w:val="26"/>
          <w:szCs w:val="26"/>
        </w:rPr>
        <w:t> </w:t>
      </w:r>
      <w:r w:rsidRPr="00E86722">
        <w:rPr>
          <w:rFonts w:ascii="Arial" w:hAnsi="Arial" w:cs="Arial"/>
          <w:color w:val="212121"/>
          <w:sz w:val="26"/>
          <w:szCs w:val="26"/>
          <w:lang/>
        </w:rPr>
        <w:t xml:space="preserve">the nature of concepts " tourism ", " tourist ", " travel services ", " tourist product "; classification approaches in the field of hospitality and tourism; theoretical aspects of tourism, tourism policy guidelines for the development of the country and prospects; key elements in tourism service technologies , functions and schemes of service organizers </w:t>
      </w:r>
      <w:r>
        <w:rPr>
          <w:rFonts w:ascii="Arial" w:hAnsi="Arial" w:cs="Arial"/>
          <w:color w:val="212121"/>
          <w:sz w:val="26"/>
          <w:szCs w:val="26"/>
          <w:lang/>
        </w:rPr>
        <w:t>and sellers of tourism products</w:t>
      </w:r>
      <w:r w:rsidRPr="00E86722">
        <w:rPr>
          <w:rFonts w:ascii="Arial" w:hAnsi="Arial" w:cs="Arial"/>
          <w:color w:val="212121"/>
          <w:sz w:val="26"/>
          <w:szCs w:val="26"/>
          <w:lang/>
        </w:rPr>
        <w:t xml:space="preserve">, content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lang/>
        </w:rPr>
        <w:t>peredrealizatsiynyh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lang/>
        </w:rPr>
        <w:t xml:space="preserve"> processes in tourism;</w:t>
      </w:r>
    </w:p>
    <w:p w:rsidR="00E86722" w:rsidRDefault="00E86722" w:rsidP="00E867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proofErr w:type="spellEnd"/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myths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analyze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the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processes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of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development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of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tourism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and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develop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effective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tools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for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organizing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tourism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activities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,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taking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into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account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market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conditions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,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domestic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and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international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tourism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market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E86722" w:rsidRPr="00B919E6" w:rsidRDefault="00E86722" w:rsidP="00E867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delivery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E86722">
        <w:rPr>
          <w:rFonts w:ascii="Arial" w:eastAsia="Times New Roman" w:hAnsi="Arial" w:cs="Arial"/>
          <w:bCs/>
          <w:color w:val="000000"/>
          <w:sz w:val="24"/>
          <w:szCs w:val="24"/>
        </w:rPr>
        <w:t>auditorium</w:t>
      </w:r>
      <w:proofErr w:type="spellEnd"/>
      <w:r w:rsidRPr="00E86722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proofErr w:type="spellStart"/>
      <w:r w:rsidRPr="00E86722">
        <w:rPr>
          <w:rFonts w:ascii="Arial" w:eastAsia="Times New Roman" w:hAnsi="Arial" w:cs="Arial"/>
          <w:bCs/>
          <w:color w:val="000000"/>
          <w:sz w:val="24"/>
          <w:szCs w:val="24"/>
        </w:rPr>
        <w:t>classes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E86722" w:rsidRPr="00B919E6" w:rsidRDefault="00E86722" w:rsidP="00E86722">
      <w:pPr>
        <w:numPr>
          <w:ilvl w:val="1"/>
          <w:numId w:val="2"/>
        </w:numPr>
        <w:spacing w:after="0" w:line="240" w:lineRule="auto"/>
        <w:ind w:left="0"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Necessary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preliminary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co-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requisites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86722" w:rsidRPr="00E86722" w:rsidRDefault="00E86722" w:rsidP="00E8672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    </w:t>
      </w:r>
      <w:proofErr w:type="spellStart"/>
      <w:r w:rsidRPr="00B919E6">
        <w:rPr>
          <w:rFonts w:ascii="Arial" w:hAnsi="Arial" w:cs="Arial"/>
          <w:b/>
          <w:bCs/>
          <w:color w:val="000000"/>
          <w:sz w:val="24"/>
          <w:szCs w:val="24"/>
        </w:rPr>
        <w:t>prerekvizyty</w:t>
      </w:r>
      <w:proofErr w:type="spellEnd"/>
      <w:r w:rsidRPr="00B919E6">
        <w:rPr>
          <w:rFonts w:ascii="Arial" w:hAnsi="Arial" w:cs="Arial"/>
          <w:b/>
          <w:bCs/>
          <w:color w:val="000000"/>
          <w:sz w:val="24"/>
          <w:szCs w:val="24"/>
        </w:rPr>
        <w:t>: </w:t>
      </w:r>
      <w:r w:rsidRPr="00E86722">
        <w:rPr>
          <w:rFonts w:ascii="Arial" w:hAnsi="Arial" w:cs="Arial"/>
          <w:bCs/>
          <w:color w:val="000000"/>
          <w:sz w:val="26"/>
          <w:szCs w:val="26"/>
          <w:lang w:val="en-US"/>
        </w:rPr>
        <w:t>T</w:t>
      </w:r>
      <w:r w:rsidRPr="00E86722">
        <w:rPr>
          <w:rFonts w:ascii="Arial" w:hAnsi="Arial" w:cs="Arial"/>
          <w:color w:val="212121"/>
          <w:sz w:val="26"/>
          <w:szCs w:val="26"/>
          <w:lang/>
        </w:rPr>
        <w:t>he history of world tourism</w:t>
      </w:r>
    </w:p>
    <w:p w:rsidR="00E86722" w:rsidRPr="00B919E6" w:rsidRDefault="00E86722" w:rsidP="00E86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korekvizyty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Economy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of</w:t>
      </w:r>
      <w:proofErr w:type="spellEnd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E86722">
        <w:rPr>
          <w:rFonts w:ascii="Arial" w:hAnsi="Arial" w:cs="Arial"/>
          <w:color w:val="212121"/>
          <w:sz w:val="26"/>
          <w:szCs w:val="26"/>
          <w:shd w:val="clear" w:color="auto" w:fill="FFFFFF"/>
        </w:rPr>
        <w:t>tourism</w:t>
      </w:r>
      <w:proofErr w:type="spellEnd"/>
    </w:p>
    <w:p w:rsidR="00E86722" w:rsidRPr="00B919E6" w:rsidRDefault="00E86722" w:rsidP="00E86722">
      <w:pPr>
        <w:numPr>
          <w:ilvl w:val="1"/>
          <w:numId w:val="3"/>
        </w:numPr>
        <w:spacing w:after="0" w:line="240" w:lineRule="auto"/>
        <w:ind w:left="900" w:hanging="1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919E6">
        <w:rPr>
          <w:rFonts w:ascii="Times New Roman" w:eastAsia="Times New Roman" w:hAnsi="Times New Roman"/>
          <w:color w:val="000000"/>
          <w:sz w:val="14"/>
          <w:szCs w:val="14"/>
        </w:rPr>
        <w:t> 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Contents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86722" w:rsidRPr="00C260F0" w:rsidRDefault="00E86722" w:rsidP="00C260F0">
      <w:pPr>
        <w:pStyle w:val="HTML"/>
        <w:shd w:val="clear" w:color="auto" w:fill="FFFFFF"/>
        <w:ind w:left="360"/>
        <w:jc w:val="both"/>
        <w:rPr>
          <w:rFonts w:ascii="Arial" w:hAnsi="Arial" w:cs="Arial"/>
          <w:color w:val="212121"/>
          <w:sz w:val="26"/>
          <w:szCs w:val="26"/>
        </w:rPr>
      </w:pPr>
      <w:r w:rsidRPr="00C260F0">
        <w:rPr>
          <w:rFonts w:ascii="Arial" w:hAnsi="Arial" w:cs="Arial"/>
          <w:color w:val="212121"/>
          <w:sz w:val="26"/>
          <w:szCs w:val="26"/>
          <w:lang/>
        </w:rPr>
        <w:t>Travel and Touris</w:t>
      </w:r>
      <w:r w:rsidR="00C260F0">
        <w:rPr>
          <w:rFonts w:ascii="Arial" w:hAnsi="Arial" w:cs="Arial"/>
          <w:color w:val="212121"/>
          <w:sz w:val="26"/>
          <w:szCs w:val="26"/>
          <w:lang/>
        </w:rPr>
        <w:t>m. The definition of " tourist"</w:t>
      </w:r>
      <w:r w:rsidRPr="00C260F0">
        <w:rPr>
          <w:rFonts w:ascii="Arial" w:hAnsi="Arial" w:cs="Arial"/>
          <w:color w:val="212121"/>
          <w:sz w:val="26"/>
          <w:szCs w:val="26"/>
          <w:lang/>
        </w:rPr>
        <w:t>. The classification of types and forms of tourism. The</w:t>
      </w:r>
      <w:r w:rsidR="00C260F0">
        <w:rPr>
          <w:rFonts w:ascii="Arial" w:hAnsi="Arial" w:cs="Arial"/>
          <w:color w:val="212121"/>
          <w:sz w:val="26"/>
          <w:szCs w:val="26"/>
          <w:lang/>
        </w:rPr>
        <w:t xml:space="preserve"> tourist product. </w:t>
      </w:r>
      <w:proofErr w:type="spellStart"/>
      <w:r w:rsidR="00C260F0">
        <w:rPr>
          <w:rFonts w:ascii="Arial" w:hAnsi="Arial" w:cs="Arial"/>
          <w:color w:val="212121"/>
          <w:sz w:val="26"/>
          <w:szCs w:val="26"/>
          <w:lang/>
        </w:rPr>
        <w:t>Turopereytynh</w:t>
      </w:r>
      <w:proofErr w:type="spellEnd"/>
      <w:r w:rsidRPr="00C260F0">
        <w:rPr>
          <w:rFonts w:ascii="Arial" w:hAnsi="Arial" w:cs="Arial"/>
          <w:color w:val="212121"/>
          <w:sz w:val="26"/>
          <w:szCs w:val="26"/>
          <w:lang/>
        </w:rPr>
        <w:t xml:space="preserve">. Services </w:t>
      </w:r>
      <w:r w:rsidR="00C260F0">
        <w:rPr>
          <w:rFonts w:ascii="Arial" w:hAnsi="Arial" w:cs="Arial"/>
          <w:color w:val="212121"/>
          <w:sz w:val="26"/>
          <w:szCs w:val="26"/>
          <w:lang/>
        </w:rPr>
        <w:t>in accommodation establishments</w:t>
      </w:r>
      <w:r w:rsidRPr="00C260F0">
        <w:rPr>
          <w:rFonts w:ascii="Arial" w:hAnsi="Arial" w:cs="Arial"/>
          <w:color w:val="212121"/>
          <w:sz w:val="26"/>
          <w:szCs w:val="26"/>
          <w:lang/>
        </w:rPr>
        <w:t>. Catering tourists. Production and servicing software tour. Quality tourism product. The tourist market. Regul</w:t>
      </w:r>
      <w:r w:rsidR="00C260F0">
        <w:rPr>
          <w:rFonts w:ascii="Arial" w:hAnsi="Arial" w:cs="Arial"/>
          <w:color w:val="212121"/>
          <w:sz w:val="26"/>
          <w:szCs w:val="26"/>
          <w:lang/>
        </w:rPr>
        <w:t>atory mechanisms tourism market</w:t>
      </w:r>
      <w:r w:rsidRPr="00C260F0">
        <w:rPr>
          <w:rFonts w:ascii="Arial" w:hAnsi="Arial" w:cs="Arial"/>
          <w:color w:val="212121"/>
          <w:sz w:val="26"/>
          <w:szCs w:val="26"/>
          <w:lang/>
        </w:rPr>
        <w:t>. Conditions The tourist market. Patterns functioning of the tourism market.</w:t>
      </w:r>
    </w:p>
    <w:p w:rsidR="00E86722" w:rsidRPr="00B919E6" w:rsidRDefault="00E86722" w:rsidP="00E8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Recommended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260F0" w:rsidRDefault="00C260F0" w:rsidP="00C260F0">
      <w:pPr>
        <w:pStyle w:val="a3"/>
        <w:numPr>
          <w:ilvl w:val="0"/>
          <w:numId w:val="6"/>
        </w:numPr>
        <w:ind w:left="426" w:hanging="284"/>
        <w:jc w:val="both"/>
        <w:rPr>
          <w:rFonts w:ascii="Arial" w:hAnsi="Arial" w:cs="Arial"/>
          <w:snapToGrid w:val="0"/>
          <w:lang w:val="uk-UA"/>
        </w:rPr>
      </w:pPr>
      <w:proofErr w:type="spellStart"/>
      <w:r>
        <w:rPr>
          <w:rFonts w:ascii="Arial" w:hAnsi="Arial" w:cs="Arial"/>
          <w:snapToGrid w:val="0"/>
          <w:lang w:val="uk-UA"/>
        </w:rPr>
        <w:t>Бабарицька</w:t>
      </w:r>
      <w:proofErr w:type="spellEnd"/>
      <w:r>
        <w:rPr>
          <w:rFonts w:ascii="Arial" w:hAnsi="Arial" w:cs="Arial"/>
          <w:snapToGrid w:val="0"/>
          <w:lang w:val="uk-UA"/>
        </w:rPr>
        <w:t xml:space="preserve"> В.К. Менеджмент туризму. </w:t>
      </w:r>
      <w:proofErr w:type="spellStart"/>
      <w:r>
        <w:rPr>
          <w:rFonts w:ascii="Arial" w:hAnsi="Arial" w:cs="Arial"/>
          <w:snapToGrid w:val="0"/>
          <w:lang w:val="uk-UA"/>
        </w:rPr>
        <w:t>Туроперейтинг</w:t>
      </w:r>
      <w:proofErr w:type="spellEnd"/>
      <w:r>
        <w:rPr>
          <w:rFonts w:ascii="Arial" w:hAnsi="Arial" w:cs="Arial"/>
          <w:snapToGrid w:val="0"/>
          <w:lang w:val="uk-UA"/>
        </w:rPr>
        <w:t>. Понятійно-термінологічні основи, сервісне забезпечення тур продукту: Навчальний посібник</w:t>
      </w:r>
      <w:r w:rsidRPr="00C260F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lang w:val="uk-UA"/>
        </w:rPr>
        <w:t xml:space="preserve">/ В.К. </w:t>
      </w:r>
      <w:proofErr w:type="spellStart"/>
      <w:r>
        <w:rPr>
          <w:rFonts w:ascii="Arial" w:hAnsi="Arial" w:cs="Arial"/>
          <w:snapToGrid w:val="0"/>
          <w:lang w:val="uk-UA"/>
        </w:rPr>
        <w:t>Бабарицька</w:t>
      </w:r>
      <w:proofErr w:type="spellEnd"/>
      <w:r>
        <w:rPr>
          <w:rFonts w:ascii="Arial" w:hAnsi="Arial" w:cs="Arial"/>
          <w:snapToGrid w:val="0"/>
          <w:lang w:val="uk-UA"/>
        </w:rPr>
        <w:t xml:space="preserve">, О.Ю. Малиновський. – К.: </w:t>
      </w:r>
      <w:proofErr w:type="spellStart"/>
      <w:r>
        <w:rPr>
          <w:rFonts w:ascii="Arial" w:hAnsi="Arial" w:cs="Arial"/>
          <w:snapToGrid w:val="0"/>
          <w:lang w:val="uk-UA"/>
        </w:rPr>
        <w:t>Альтерпрес</w:t>
      </w:r>
      <w:proofErr w:type="spellEnd"/>
      <w:r>
        <w:rPr>
          <w:rFonts w:ascii="Arial" w:hAnsi="Arial" w:cs="Arial"/>
          <w:snapToGrid w:val="0"/>
          <w:lang w:val="uk-UA"/>
        </w:rPr>
        <w:t>, 2004. – 288 с.</w:t>
      </w:r>
    </w:p>
    <w:p w:rsidR="00C260F0" w:rsidRDefault="00C260F0" w:rsidP="00C260F0">
      <w:pPr>
        <w:pStyle w:val="a3"/>
        <w:numPr>
          <w:ilvl w:val="0"/>
          <w:numId w:val="6"/>
        </w:numPr>
        <w:ind w:left="426" w:hanging="284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Організація туризму: підручник / І.М. </w:t>
      </w:r>
      <w:proofErr w:type="spellStart"/>
      <w:r>
        <w:rPr>
          <w:rFonts w:ascii="Arial" w:hAnsi="Arial" w:cs="Arial"/>
          <w:snapToGrid w:val="0"/>
          <w:lang w:val="uk-UA"/>
        </w:rPr>
        <w:t>Писаревський</w:t>
      </w:r>
      <w:proofErr w:type="spellEnd"/>
      <w:r>
        <w:rPr>
          <w:rFonts w:ascii="Arial" w:hAnsi="Arial" w:cs="Arial"/>
          <w:snapToGrid w:val="0"/>
          <w:lang w:val="uk-UA"/>
        </w:rPr>
        <w:t xml:space="preserve">, С.О. </w:t>
      </w:r>
      <w:proofErr w:type="spellStart"/>
      <w:r>
        <w:rPr>
          <w:rFonts w:ascii="Arial" w:hAnsi="Arial" w:cs="Arial"/>
          <w:snapToGrid w:val="0"/>
          <w:lang w:val="uk-UA"/>
        </w:rPr>
        <w:t>Погасій</w:t>
      </w:r>
      <w:proofErr w:type="spellEnd"/>
      <w:r>
        <w:rPr>
          <w:rFonts w:ascii="Arial" w:hAnsi="Arial" w:cs="Arial"/>
          <w:snapToGrid w:val="0"/>
          <w:lang w:val="uk-UA"/>
        </w:rPr>
        <w:t xml:space="preserve">, М.М. </w:t>
      </w:r>
      <w:proofErr w:type="spellStart"/>
      <w:r>
        <w:rPr>
          <w:rFonts w:ascii="Arial" w:hAnsi="Arial" w:cs="Arial"/>
          <w:snapToGrid w:val="0"/>
          <w:lang w:val="uk-UA"/>
        </w:rPr>
        <w:t>Поколодний</w:t>
      </w:r>
      <w:proofErr w:type="spellEnd"/>
      <w:r>
        <w:rPr>
          <w:rFonts w:ascii="Arial" w:hAnsi="Arial" w:cs="Arial"/>
          <w:snapToGrid w:val="0"/>
          <w:lang w:val="uk-UA"/>
        </w:rPr>
        <w:t xml:space="preserve"> та ін.; за ред. І.М. </w:t>
      </w:r>
      <w:proofErr w:type="spellStart"/>
      <w:r>
        <w:rPr>
          <w:rFonts w:ascii="Arial" w:hAnsi="Arial" w:cs="Arial"/>
          <w:snapToGrid w:val="0"/>
          <w:lang w:val="uk-UA"/>
        </w:rPr>
        <w:t>Писаревського</w:t>
      </w:r>
      <w:proofErr w:type="spellEnd"/>
      <w:r>
        <w:rPr>
          <w:rFonts w:ascii="Arial" w:hAnsi="Arial" w:cs="Arial"/>
          <w:snapToGrid w:val="0"/>
          <w:lang w:val="uk-UA"/>
        </w:rPr>
        <w:t>. – Х. ХНАМГ, 2008. – 541 с.</w:t>
      </w:r>
    </w:p>
    <w:p w:rsidR="00E86722" w:rsidRPr="00B919E6" w:rsidRDefault="00E86722" w:rsidP="00E86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1 2.</w:t>
      </w:r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Planned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learning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activities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teaching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methods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="00C260F0">
        <w:rPr>
          <w:rFonts w:ascii="Arial" w:eastAsia="Times New Roman" w:hAnsi="Arial" w:cs="Arial"/>
          <w:color w:val="000000"/>
          <w:sz w:val="24"/>
          <w:szCs w:val="24"/>
        </w:rPr>
        <w:t>lectures</w:t>
      </w:r>
      <w:proofErr w:type="spellEnd"/>
      <w:r w:rsidR="00C260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seminars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independent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work</w:t>
      </w:r>
      <w:proofErr w:type="spellEnd"/>
    </w:p>
    <w:p w:rsidR="00E86722" w:rsidRPr="00B919E6" w:rsidRDefault="00E86722" w:rsidP="00E86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1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Assessment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methods</w:t>
      </w:r>
      <w:proofErr w:type="spellEnd"/>
      <w:r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86722" w:rsidRPr="00B919E6" w:rsidRDefault="00E86722" w:rsidP="00E86722">
      <w:pPr>
        <w:numPr>
          <w:ilvl w:val="0"/>
          <w:numId w:val="5"/>
        </w:numPr>
        <w:spacing w:after="0" w:line="240" w:lineRule="auto"/>
        <w:ind w:left="887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19E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otochnyy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control</w:t>
      </w:r>
      <w:proofErr w:type="spellEnd"/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B919E6">
        <w:rPr>
          <w:rFonts w:ascii="Arial" w:eastAsia="Times New Roman" w:hAnsi="Arial" w:cs="Arial"/>
          <w:color w:val="000000"/>
          <w:sz w:val="24"/>
          <w:szCs w:val="24"/>
        </w:rPr>
        <w:t>(70%) -</w:t>
      </w:r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oral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questioning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testing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on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proofErr w:type="spellEnd"/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research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objectives</w:t>
      </w:r>
      <w:proofErr w:type="spellEnd"/>
    </w:p>
    <w:p w:rsidR="00E86722" w:rsidRPr="00B919E6" w:rsidRDefault="00E86722" w:rsidP="00E86722">
      <w:pPr>
        <w:numPr>
          <w:ilvl w:val="0"/>
          <w:numId w:val="5"/>
        </w:numPr>
        <w:spacing w:after="0" w:line="240" w:lineRule="auto"/>
        <w:ind w:left="887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Pi</w:t>
      </w:r>
      <w:proofErr w:type="spellEnd"/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dsumkovyy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control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> (30%) -</w:t>
      </w:r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="00C260F0">
        <w:rPr>
          <w:rFonts w:ascii="Arial" w:eastAsia="Times New Roman" w:hAnsi="Arial" w:cs="Arial"/>
          <w:color w:val="000000"/>
          <w:sz w:val="24"/>
          <w:szCs w:val="24"/>
          <w:lang w:val="en-US"/>
        </w:rPr>
        <w:t>exem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theoretical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questions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919E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B919E6">
        <w:rPr>
          <w:rFonts w:ascii="Arial" w:eastAsia="Times New Roman" w:hAnsi="Arial" w:cs="Arial"/>
          <w:color w:val="000000"/>
          <w:sz w:val="24"/>
          <w:szCs w:val="24"/>
        </w:rPr>
        <w:t>tests</w:t>
      </w:r>
      <w:proofErr w:type="spellEnd"/>
      <w:r w:rsidRPr="00B919E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6722" w:rsidRPr="00B919E6" w:rsidRDefault="00C260F0" w:rsidP="00E867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          </w:t>
      </w:r>
      <w:r w:rsidR="00E867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1</w:t>
      </w:r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="00E86722"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</w:t>
      </w:r>
      <w:proofErr w:type="spellEnd"/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spellEnd"/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instruction</w:t>
      </w:r>
      <w:proofErr w:type="spellEnd"/>
      <w:r w:rsidR="00E86722" w:rsidRPr="00B91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E86722" w:rsidRPr="00B919E6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="00E86722" w:rsidRPr="00B919E6">
        <w:rPr>
          <w:rFonts w:ascii="Arial" w:eastAsia="Times New Roman" w:hAnsi="Arial" w:cs="Arial"/>
          <w:color w:val="000000"/>
          <w:sz w:val="24"/>
          <w:szCs w:val="24"/>
        </w:rPr>
        <w:t>Ukrainian</w:t>
      </w:r>
      <w:proofErr w:type="spellEnd"/>
    </w:p>
    <w:p w:rsidR="00E86722" w:rsidRDefault="00E86722" w:rsidP="00E86722"/>
    <w:p w:rsidR="00000000" w:rsidRDefault="00C260F0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9D1"/>
    <w:multiLevelType w:val="multilevel"/>
    <w:tmpl w:val="3822D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043E2"/>
    <w:multiLevelType w:val="hybridMultilevel"/>
    <w:tmpl w:val="FC2A74A0"/>
    <w:lvl w:ilvl="0" w:tplc="42A07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B2B84"/>
    <w:multiLevelType w:val="multilevel"/>
    <w:tmpl w:val="6520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1998"/>
    <w:multiLevelType w:val="multilevel"/>
    <w:tmpl w:val="1AF6C8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63A57"/>
    <w:multiLevelType w:val="multilevel"/>
    <w:tmpl w:val="BFA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1EA7"/>
    <w:multiLevelType w:val="multilevel"/>
    <w:tmpl w:val="35F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722"/>
    <w:rsid w:val="00C260F0"/>
    <w:rsid w:val="00E8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72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C26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2015-12-17T19:36:00Z</dcterms:created>
  <dcterms:modified xsi:type="dcterms:W3CDTF">2015-12-17T19:51:00Z</dcterms:modified>
</cp:coreProperties>
</file>